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217CA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19 มีนาคม พ.ศ. 2563 เวลา 13.30 น.</w:t>
      </w:r>
    </w:p>
    <w:p w:rsidR="00DD0210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A2074" w:rsidRPr="00CA2074">
        <w:rPr>
          <w:rFonts w:ascii="BrowalliaUPC" w:hAnsi="BrowalliaUPC" w:cs="BrowalliaUPC"/>
          <w:b/>
          <w:bCs/>
          <w:sz w:val="32"/>
          <w:szCs w:val="32"/>
          <w:cs/>
        </w:rPr>
        <w:t xml:space="preserve">10 </w:t>
      </w:r>
      <w:bookmarkStart w:id="0" w:name="_GoBack"/>
      <w:r w:rsidR="00CA2074" w:rsidRPr="00CA2074">
        <w:rPr>
          <w:rFonts w:ascii="BrowalliaUPC" w:hAnsi="BrowalliaUPC" w:cs="BrowalliaUPC"/>
          <w:b/>
          <w:bCs/>
          <w:sz w:val="32"/>
          <w:szCs w:val="32"/>
          <w:cs/>
        </w:rPr>
        <w:t>แผนรองรับวิกฤตการณ์ด้านน้ำมันเชื้อเพลิง</w:t>
      </w:r>
      <w:bookmarkEnd w:id="0"/>
      <w:r w:rsidR="00CA2074" w:rsidRPr="00CA2074">
        <w:rPr>
          <w:rFonts w:ascii="BrowalliaUPC" w:hAnsi="BrowalliaUPC" w:cs="BrowalliaUPC"/>
          <w:b/>
          <w:bCs/>
          <w:sz w:val="32"/>
          <w:szCs w:val="32"/>
          <w:cs/>
        </w:rPr>
        <w:t>และแผนยุทธศาสตร์กองทุนน้ำมันเชื้อเพลิง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>1. พระราชบัญญัติกองทุนน้ำมันเชื้อเพลิง พ.ศ. 2562 มาตรา 14 (1) กำหนดให้คณะกรรมการบริหารกองทุนน้ำมันเชื้อเพลิง (กบน.) เสนอแผนรองรับวิกฤตการณ์ด้านน้ำมันเชื้อเพลิงและแผนยุทธศาสตร์กองทุนน้ำมันเชื้อเพลิงต่อคณะกรรมการนโยบายพลังงานแห่งชาติ (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.) เพื่อนำเสนอคณะรัฐมนตรีให้ความเห็นชอบ ต่อมาเมื่อวันที่ 19 กุมภาพันธ์ 2563 คณะกรรมการบริหารกองทุนน้ำมันเชื้อเพลิง ได้พิจารณาและได้มีมติเห็นชอบแผนยุทธศาสตร์กองทุนน้ำมันเชื้อเพลิง พ.ศ. 2563 – 2567 แผนรองรับวิกฤตการณ์ด้านน้ำมันเชื้อเพลิง พ.ศ. 2563 – 2567 แผนการลดการจ่ายเงินชดเชยน้ำมันเชื้อเพลิงที่มีส่วนผสมของเชื้อเพลิงชีวภาพ ในช่วงปี พ.ศ. 2563 - 2565 รวมทั้งเห็นชอบประกาศ เรื่อง หลักเกณฑ์ วิธีการ เงื่อนไข และมาตรการ เพื่อลดการจ่ายเงินชดเชยน้ำมันเชื้อเพลิงที่มีส่วนผสมของเชื้อเพลิงชีวภาพจัดทำแผนรองรับวิกฤตการณ์ด้านน้ำมันเชื้อเพลิง และให้สำนักงานกองทุนน้ำมันเชื้อเพลิง (สกนช.) นำเสนอ 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2.แผนยุทธศาสตร์กองทุนน้ำมันเชื้อเพลิง พ.ศ. 2563 – 2567 สรุปสาระสำคัญได้ดังนี้ (1) วิสัยทัศน์ (</w:t>
      </w:r>
      <w:r w:rsidRPr="00CA2074">
        <w:rPr>
          <w:rFonts w:ascii="BrowalliaUPC" w:hAnsi="BrowalliaUPC" w:cs="BrowalliaUPC"/>
          <w:sz w:val="32"/>
          <w:szCs w:val="32"/>
        </w:rPr>
        <w:t xml:space="preserve">Vision) </w:t>
      </w:r>
      <w:r w:rsidRPr="00CA2074">
        <w:rPr>
          <w:rFonts w:ascii="BrowalliaUPC" w:hAnsi="BrowalliaUPC" w:cs="BrowalliaUPC"/>
          <w:sz w:val="32"/>
          <w:szCs w:val="32"/>
          <w:cs/>
        </w:rPr>
        <w:t>เป็นกองทุนที่รักษาเสถียรภาพราคาน้ำมันเชื้อเพลิง ที่มีประสิทธิภาพ และธรรมา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ภิ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บาล (2) พันธกิจ (</w:t>
      </w:r>
      <w:r w:rsidRPr="00CA2074">
        <w:rPr>
          <w:rFonts w:ascii="BrowalliaUPC" w:hAnsi="BrowalliaUPC" w:cs="BrowalliaUPC"/>
          <w:sz w:val="32"/>
          <w:szCs w:val="32"/>
        </w:rPr>
        <w:t xml:space="preserve">Mission) </w:t>
      </w:r>
      <w:r w:rsidRPr="00CA2074">
        <w:rPr>
          <w:rFonts w:ascii="BrowalliaUPC" w:hAnsi="BrowalliaUPC" w:cs="BrowalliaUPC"/>
          <w:sz w:val="32"/>
          <w:szCs w:val="32"/>
          <w:cs/>
        </w:rPr>
        <w:t>มี 5 พันธกิจสำคัญ ประกอบด้วย รักษาเสถียรภาพราคาน้ำมันเชื้อเพลิงและป้องกันแก้ไขภาวะการขาดแคลนน้ำมันเชื้อเพลิง บริหารจัดการกองทุนน้ำมันฯ อย่างมีประสิทธิภาพ โปร่งใส ตรวจสอบได้ ติดตามและประเมินผลการบริหารจัดการกองทุนน้ำมันฯ บริหารจัดการระบบสารสนเทศของกองทุนน้ำมันฯอย่างมีประสิทธิภาพ และเผยแพร่ข้อมูลการบริหารจัดการกองทุนน้ำมันฯ ต่อสาธารณะ ส่วนแผนยุทธศาสตร์ มุ่งเน้นไปที่ 3 ยุทธศาสตร์ที่สำคัญ คือ (1) การรักษาเสถียรภาพระดับราคาน้ำมันเชื้อเพลิงในกรณีที่เกิดวิกฤตการณ์ด้านราคาน้ำมันเชื้อเพลิง (2) การลดการจ่ายเงินชดเชยน้ำมันเชื้อเพลิงที่มีส่วนผสมของเชื้อเพลิงชีวภาพ และ (3) การบริหารจัดการกองทุนน้ำมันเชื้อเพลิงตามหลักธรรมา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ภิ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บาล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lastRenderedPageBreak/>
        <w:t xml:space="preserve">         3.ยุทธศาสตร์ที่ 1 การรักษาเสถียรภาพระดับราคาน้ำมันเชื้อเพลิงในกรณีที่เกิดวิกฤตการณ์ด้านราคาน้ำมันเชื้อเพลิง โดยสรุปสาระสำคัญของแผนรองรับวิกฤตการณ์ด้านน้ำมันเชื้อเพลิง พ.ศ. 2563 - 2567 ได้ดังนี้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   3.1แนวทางการรักษาเสถียรภาพระดับราคาน้ำมันเชื้อเพลิง ดำเนินการโดยจัดทำฐานะกองทุนน้ำมันฯ ให้แยกบัญชีตามกลุ่มน้ำมันเชื้อเพลิง มีกรอบความต่างของราคา (</w:t>
      </w:r>
      <w:r w:rsidRPr="00CA2074">
        <w:rPr>
          <w:rFonts w:ascii="BrowalliaUPC" w:hAnsi="BrowalliaUPC" w:cs="BrowalliaUPC"/>
          <w:sz w:val="32"/>
          <w:szCs w:val="32"/>
        </w:rPr>
        <w:t xml:space="preserve">Band Width) </w:t>
      </w:r>
      <w:r w:rsidRPr="00CA2074">
        <w:rPr>
          <w:rFonts w:ascii="BrowalliaUPC" w:hAnsi="BrowalliaUPC" w:cs="BrowalliaUPC"/>
          <w:sz w:val="32"/>
          <w:szCs w:val="32"/>
          <w:cs/>
        </w:rPr>
        <w:t>ระหว่างราคาเชื้อเพลิงหลักของกลุ่มน้ำมันดีเซล และกลุ่มน้ำมันเบนซิน ในกรณีเกิดวิกฤตการณ์ด้านน้ำมันเชื้อเพลิงเท่ากับความต่างของราคาในสถานการณ์ปกติ หากเกิดวิกฤตฯ ที่คาดว่าจะยาวนาน ให้พิจารณาอุดหนุนราคาน้ำมันดีเซลชนิดเดียว การชดเชยราคาน้ำมันเชื้อเพลิงเมื่อเกิดวิกฤตการณ์ด้านน้ำมันเชื้อเพลิง ในช่วงระยะเวลาสั้นๆ เก็บเงินเข้ากองทุนน้ำมันฯ ในช่วงที่ราคาลง เพื่อให้กองทุนน้ำมันฯ มีสภาพคล่อง และทบทวนแนวทางการรักษาเสถียรภาพระดับราคาน้ำมันเชื้อเพลิง และหลักเกณฑ์การบริหารกองทุนน้ำมันฯ อย่างน้อยปีละ 1 ครั้ง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  3.2หลักเกณฑ์การบริหารกองทุนน้ำมันเชื้อเพลิง ได้แก่ (1) เป็นไปตามมาตรา 5 แห่ง พ.ร.บ. กองทุนน้ำมันฯ (2) กำหนดนิยามคำว่าวิกฤตการณ์ด้านน้ำมันเชื้อเพลิง หมายความว่า สถานการณ์ที่ราคาน้ำมันเชื้อเพลิงมีการปรับราคาขึ้นอย่างรวดเร็ว หรือผันผวนอันอาจเกิดผลกระทบต่อการดำรงชีพของประชาชน หรือสถานการณ์ที่น้ำมันเชื้อเพลิงอาจขาดแคลนและไม่เพียงพอต่อการใช้ในประเทศ สามารถใช้เงินกองทุนน้ำมันฯ เพื่อรักษาเสถียรภาพระดับราคาน้ำมันเชื้อเพลิงได้ โดยกำหนดเป็น 3 สถานการณ์ ได้แก่ สถานการณ์ที่ 1 ราคาน้ำมันเชื้อเพลิงปรับขึ้นเกินระดับที่มีผลกระทบต่อความเป็นอยู่ของประชาชน สำหรับกลุ่มน้ำมันดีเซลคือมากกว่า 30 บาทต่อลิตร สำหรับก๊าซปิโตรเลียมเหลวคือ ต้นทุนการจัดหาจากโรงแยกก๊าซธรรมชาติสูงกว่าราคานำเข้า หรือราคาขายปลีกในประเทศปรับตัวสูงเกินกว่าระดับราคาที่เหมาะสมสำหรับถัง 15 กิโลกรัม มากกว่า 363 บาท สถานการณ์ที่ 2 ราคาน้ำมันเชื้อเพลิงปรับตัวสูงขึ้นมากอย่างรุนแรง สำหรับกลุ่มน้ำมันดีเซล คือราคาซื้อขายน้ำมันดิบตลาดโลกปรับตัวสูงขึ้นอย่างรวดเร็วใน 1 สัปดาห์ รวมกันมากกว่า 5 เหรียญสหรัฐฯต่อบาร์เรล และส่งผลให้ราคาขายปลีกในประเทศปรับตัวสูงขึ้นใน 1 สัปดาห์ รวมกันมากกว่า 1 บาทต่อลิตร สำหรับก๊าซปิโตรเลียมเหลว คือราคาตลาดโลกเปลี่ยนแปลงใน 2 สัปดาห์ เฉลี่ยมากกว่า 35 เหรียญสหรัฐฯต่อตัน หรือราคาขายปลีกในประเทศเปลี่ยนแปลงใน 2 สัปดาห์ รวมกันมากกว่า 1 บาทต่อกิโลกรัม และสถานการณ์ที่ 3 สถานการณ์ที่น้ำมันเชื้อเพลิงอาจขาดแคลนและไม่เพียงพอต่อการใช้ภายในประเทศ อันอาจเกิดผลกระทบต่อการดำรงชีพของประชาชน (3) การรักษาเสถียรภาพระดับราคาน้ำมันเชื้อเพลิงในประเทศให้อยู่ในระดับที่เหมาะสม มีกรอบและวินัยในการใช้จ่ายเงินเพื่อชดเชย ได้แก่ เป็นการบรรเทาผลกระทบ</w:t>
      </w:r>
      <w:r w:rsidRPr="00CA2074">
        <w:rPr>
          <w:rFonts w:ascii="BrowalliaUPC" w:hAnsi="BrowalliaUPC" w:cs="BrowalliaUPC"/>
          <w:sz w:val="32"/>
          <w:szCs w:val="32"/>
          <w:cs/>
        </w:rPr>
        <w:lastRenderedPageBreak/>
        <w:t>ต่อการดำรงชีพของประชาชน และหรือชะลอการขาดแคลนและไม่เพียงพอต่อการใช้ภายในประเทศ เป็นมาตรการระยะสั้นและสะท้อนมูลค่าที่แท้จริง หลีกเลี่ยงการกระทบต่อกลไกลตลาดเสรีคำนึงถึงภาวะความผันผวนของราคาต้นทุนที่แท้จริง แนวโน้มตลาดโลก หลีกเลี่ยงการชดเชยเพื่อช่วยเหลือกลุ่มใดกลุ่มหนึ่ง ไม่ควรอุดหนุนราคาน้ำมันเชื้อเพลิงข้ามกลุ่ม (</w:t>
      </w:r>
      <w:r w:rsidRPr="00CA2074">
        <w:rPr>
          <w:rFonts w:ascii="BrowalliaUPC" w:hAnsi="BrowalliaUPC" w:cs="BrowalliaUPC"/>
          <w:sz w:val="32"/>
          <w:szCs w:val="32"/>
        </w:rPr>
        <w:t>Cross Subsidies) (</w:t>
      </w:r>
      <w:r w:rsidRPr="00CA2074">
        <w:rPr>
          <w:rFonts w:ascii="BrowalliaUPC" w:hAnsi="BrowalliaUPC" w:cs="BrowalliaUPC"/>
          <w:sz w:val="32"/>
          <w:szCs w:val="32"/>
          <w:cs/>
        </w:rPr>
        <w:t>4) การบริหารจัดการกองทุนน้ำมันฯ ต้องมีจำนวนเงินเพียงพอ ซึ่งเมื่อรวมกับเงินกู้จำนวนไม่เกิน 20,000 ล้านบาทแล้ว ต้องไม่เกิน 40,000 ล้านบาท และให้จ่ายได้เพื่อการรักษาเสถียรภาพระดับราคาน้ำมันเชื้อเพลิง เป็นค่าใช้จ่ายในการดำเนินงานหรือบริหารกองทุนน้ำมันฯ และกิจการอื่นที่เกี่ยวกับการจัดการกิจการของกองทุนน้ำมันฯ (5) เมื่อเกิดวิกฤตการณ์ด้านน้ำมันเชื้อเพลิง ให้ใช้เงินกองทุนน้ำมันฯ ตามแนวทางดังนี้ กรณีบัญชีน้ำมันเชื้อเพลิงเป็นบวก ให้ใช้อุดหนุนเท่ากับอัตราที่จะทำให้ราคาขายปลีกไม่เกินระดับที่มีผลกระทบต่อความเป็นอยู่ของประชาชน กรณีบัญชีน้ำมันเชื้อเพลิงเป็นบวก และคาดว่าอีก 1 เดือนจะติดลบ ใช้เงินอุดหนุนเท่ากับอัตราที่ไม่ให้เกิดวิกฤติฯ และเริ่มหารือกับกรมสรรพสามิตในการปรับลดอัตราภาษีสรรพสามิต กรณีบัญชีน้ำมันเชื้อเพลิงใดเริ่มติดลบ ให้ยืมเงินจากบัญชีน้ำมันเชื้อเพลิงชนิดอื่น และหารือเรื่องการปรับลดภาษีสรรพสามิต กรณีฐานะกองทุนน้ำมันฯ ใกล้ติดลบ หากราคายังอยู่ในระดับวิกฤติฯ จนส่งผลให้ฐานะกองทุนน้ำมันฯ ติดลบ ให้เริ่มกลยุทธ์การถอนกองทุนน้ำมันฯ (</w:t>
      </w:r>
      <w:r w:rsidRPr="00CA2074">
        <w:rPr>
          <w:rFonts w:ascii="BrowalliaUPC" w:hAnsi="BrowalliaUPC" w:cs="BrowalliaUPC"/>
          <w:sz w:val="32"/>
          <w:szCs w:val="32"/>
        </w:rPr>
        <w:t xml:space="preserve">Exit Strategy) </w:t>
      </w:r>
      <w:r w:rsidRPr="00CA2074">
        <w:rPr>
          <w:rFonts w:ascii="BrowalliaUPC" w:hAnsi="BrowalliaUPC" w:cs="BrowalliaUPC"/>
          <w:sz w:val="32"/>
          <w:szCs w:val="32"/>
          <w:cs/>
        </w:rPr>
        <w:t>โดยปรับลดการช่วยเหลือลงครึ่งหนึ่ง และยังคงหารือเรื่องการปรับลดภาษีสรรพสามิต เพื่อให้ระดับราคาไม่ปรับตัวสูงขึ้นมาก และเริ่มกู้เงิน เพื่อให้กองทุนน้ำมันฯ ไม่ขาดสภาพคล่อง และกรณีฐานะกองทุนน้ำมันฯ ติดลบ 20,000 ล้านบาท ให้หยุดการชดเชย และ (6) กบน. จะอนุมัติการจ่ายเงินกองทุนน้ำมันฯ เพื่อดำเนินการตามสถานการณ์วิกฤตการณ์ด้านน้ำมันเชื้อเพลิง โดยเป็นไปตามหลักเกณฑ์และวิธีการส่งเงินเข้ากองทุนน้ำมันเชื้อเพลิง ตามมาตรา 27 มาตรา 29 มาตรา 31 และมาตรา 32 โดยจะออกเป็นระเบียบ ข้อบังคับ หรือประกาศกำหนด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4.ยุทธศาสตร์ที่ 2 การลดการจ่ายเงินชดเชยน้ำมันเชื้อเพลิงที่มีส่วนผสมของเชื้อเพลิงชีวภาพ โดย สกนช. ได้จัดทำแผนการลดการจ่ายเงินชดเชยน้ำมันเชื้อเพลิงที่มีส่วนผสมของเชื้อเพลิงชีวภาพ ในช่วงปี พ.ศ. 2563 - 2565 สรุปสาระสำคัญได้ดังนี้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  4.1 หลักเกณฑ์การดำเนินการ ประกอบด้วย (1) การลดการจ่ายเงินชดเชยน้ำมันเชื้อเพลิงที่มีส่วนผสมของเชื้อเพลิงชีวภาพ เป็นไปตามมาตรา 55 และในกรณีที่มีความจำเป็นต้องจ่ายเงินชดเชยต่อไป ให้คณะรัฐมนตรีโดยคำแนะนำของ 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. มีอำนาจขยายเวลาได้อีกไม่เกิน 2 ครั้ง ครั้งละไม่เกิน 2 ปี (2) น้ำมันเชื้อเพลิงที่มีส่วนผสมของเชื้อเพลิงชีวภาพ หมายถึง น้ำมันเบนซินที่มีการผสมเอทานอล และน้ำมันดีเซลที่มีการผสม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โอดีเซล </w:t>
      </w:r>
      <w:r w:rsidRPr="00CA2074">
        <w:rPr>
          <w:rFonts w:ascii="BrowalliaUPC" w:hAnsi="BrowalliaUPC" w:cs="BrowalliaUPC"/>
          <w:sz w:val="32"/>
          <w:szCs w:val="32"/>
        </w:rPr>
        <w:t>B</w:t>
      </w:r>
      <w:r w:rsidRPr="00CA2074">
        <w:rPr>
          <w:rFonts w:ascii="BrowalliaUPC" w:hAnsi="BrowalliaUPC" w:cs="BrowalliaUPC"/>
          <w:sz w:val="32"/>
          <w:szCs w:val="32"/>
          <w:cs/>
        </w:rPr>
        <w:t>100 ในสัดส่วน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 (3) เมื่อไม่มีการจ่ายเงินชดเชยให้น้ำมัน</w:t>
      </w:r>
      <w:r w:rsidRPr="00CA2074">
        <w:rPr>
          <w:rFonts w:ascii="BrowalliaUPC" w:hAnsi="BrowalliaUPC" w:cs="BrowalliaUPC"/>
          <w:sz w:val="32"/>
          <w:szCs w:val="32"/>
          <w:cs/>
        </w:rPr>
        <w:lastRenderedPageBreak/>
        <w:t>เชื้อเพลิงที่มีส่วนผสมของเชื้อเพลิงชีวภาพ สกนช. จะกำหนดอัตราเงินกองทุนสำหรับน้ำมันเชื้อเพลิงแต่ละชนิด เพื่อส่งเสริมการใช้น้ำมันเชื้อเพลิงตามนโยบายภาครัฐ โดยมีกรอบในการดำเนินงานคือ กำหนดอัตราเงินแต่ละชนิดให้เหมาะสม เป็นธรรม และไม่ควรใช้เพื่ออุดหนุนราคาน้ำมันเชื้อเพลิงข้ามกลุ่ม ราคาน้ำมันเชื้อเพลิงเป็นไปตามหลักการสะท้อนมูลค่าที่แท้จริง หลีกเลี่ยงการแทรกแซงที่มีผลกระทบต่อกลไกตลาดเสรี คำนึงถึงภาวะความผันผวนของต้นทุนน้ำมันเชื้อเพลิงแต่ละชนิด สถานการณ์ราคาน้ำมันตลาดโลก และมาตรการส่งเสริมเชื้อเพลิงชีวภาพ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 ของภาครัฐในช่วง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นั้นๆ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 และ (4) การลดการจ่ายเงินชดเชยน้ำมันเชื้อเพลิงที่มีส่วนผสมของเชื้อเพลิงชีวภาพ และการกำหนดอัตราเงินกองทุนจะต้องทำให้กองทุนมีเงินเพียงพอใช้บริหารจัดการและไม่เกินจำนวน 40,000 ล้านบาท (รวมเงินกู้ไม่เกิน 20,000 ล้านบาท) ตามมาตรา 26 แห่ง พ.ร.บ. กองทุนน้ำมันฯ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 4.2 วิธีการดำเนินงาน มีดังนี้ (1) กบน. จัดทำประกาศกำหนดหลักเกณฑ์ วิธีการ เงื่อนไข และมาตรการเพื่อลดการจ่ายเงินชดเชยน้ำมันเชื้อเพลิงที่มีส่วนผสมของเชื้อเพลิงชีวภาพภายในระยะเวลา 3 ปี นำเสนอ 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. เพื่อนำเสนอคณะรัฐมนตรีให้ความเห็นชอบ และมอบให้ กบน. จัดทำแผนการลดการจ่ายเงินชดเชยฯ รายปี และสามารถปรับแผนระหว่างปีได้ (2) กบน. จะอนุมัติอัตราเงินกองทุนตามแผนการลดการจ่ายชดเชยฯ ที่ได้รับความเห็นชอบจากคณะรัฐมนตรี โดยเป็นไปตามหลักเกณฑ์ตามมาตรา 27 มาตรา 29 มาตรา 31 และมาตรา 32 โดยจะออกเป็นระเบียบ ข้อบังคับ หรือประกาศกำหนด (3) สกนช. ออกประกาศกำหนดอัตราเงินกองทุน ตามมติ กบน. รวมทั้งติดตามการดำเนินการให้เป็นไปตามแผน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4.3 มาตรการลดการจ่ายเงินชดเชยน้ำมันเชื้อเพลิงที่มีส่วนผสมของเชื้อเพลิงชีวภาพในช่วงปีงบประมาณ พ.ศ. 2563 – 2565 ประกอบด้วย (1) กลุ่มน้ำมันเบนซิน ให้ทยอยลดการจ่ายเงินชดเชยให้แก่น้ำมันแก๊สโซ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CA2074">
        <w:rPr>
          <w:rFonts w:ascii="BrowalliaUPC" w:hAnsi="BrowalliaUPC" w:cs="BrowalliaUPC"/>
          <w:sz w:val="32"/>
          <w:szCs w:val="32"/>
        </w:rPr>
        <w:t>E</w:t>
      </w:r>
      <w:r w:rsidRPr="00CA2074">
        <w:rPr>
          <w:rFonts w:ascii="BrowalliaUPC" w:hAnsi="BrowalliaUPC" w:cs="BrowalliaUPC"/>
          <w:sz w:val="32"/>
          <w:szCs w:val="32"/>
          <w:cs/>
        </w:rPr>
        <w:t xml:space="preserve">20 และ </w:t>
      </w:r>
      <w:r w:rsidRPr="00CA2074">
        <w:rPr>
          <w:rFonts w:ascii="BrowalliaUPC" w:hAnsi="BrowalliaUPC" w:cs="BrowalliaUPC"/>
          <w:sz w:val="32"/>
          <w:szCs w:val="32"/>
        </w:rPr>
        <w:t>E</w:t>
      </w:r>
      <w:r w:rsidRPr="00CA2074">
        <w:rPr>
          <w:rFonts w:ascii="BrowalliaUPC" w:hAnsi="BrowalliaUPC" w:cs="BrowalliaUPC"/>
          <w:sz w:val="32"/>
          <w:szCs w:val="32"/>
          <w:cs/>
        </w:rPr>
        <w:t>85 ลงร้อยละ 50 เทียบกับปีก่อน จนไม่มีการชดเชยหลังจากปีที่ 3 และหากจำเป็นต้องขยายกรอบระยะเวลา จะดำเนินการตามมาตรา 55 แห่ง พ.ร.บ. กองทุนน้ำมันฯ และรักษาส่วนต่างราคาขายปลีกที่จูงใจให้ใช้น้ำมันแก๊สโซ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CA2074">
        <w:rPr>
          <w:rFonts w:ascii="BrowalliaUPC" w:hAnsi="BrowalliaUPC" w:cs="BrowalliaUPC"/>
          <w:sz w:val="32"/>
          <w:szCs w:val="32"/>
        </w:rPr>
        <w:t>E</w:t>
      </w:r>
      <w:r w:rsidRPr="00CA2074">
        <w:rPr>
          <w:rFonts w:ascii="BrowalliaUPC" w:hAnsi="BrowalliaUPC" w:cs="BrowalliaUPC"/>
          <w:sz w:val="32"/>
          <w:szCs w:val="32"/>
          <w:cs/>
        </w:rPr>
        <w:t xml:space="preserve">20 โดยกำหนดอัตราเงินกองทุนที่เหมาะสม และ (2) กลุ่มน้ำมันดีเซล ให้ทยอยลดการจ่ายเงินชดเชยลงร้อยละ 50 เทียบกับปีก่อน จนไม่มีการชดเชยหลังจากปีที่ 3 และหากจำเป็นต้องขยายกรอบระยะเวลา จะดำเนินการตามมาตรา 55 แห่ง พ.ร.บ. กองทุนน้ำมันฯ และรักษาส่วนต่างราคาขายปลีกที่จูงใจให้ใช้น้ำมันดีเซลหมุนเร็ว </w:t>
      </w:r>
      <w:r w:rsidRPr="00CA2074">
        <w:rPr>
          <w:rFonts w:ascii="BrowalliaUPC" w:hAnsi="BrowalliaUPC" w:cs="BrowalliaUPC"/>
          <w:sz w:val="32"/>
          <w:szCs w:val="32"/>
        </w:rPr>
        <w:t>B</w:t>
      </w:r>
      <w:r w:rsidRPr="00CA2074">
        <w:rPr>
          <w:rFonts w:ascii="BrowalliaUPC" w:hAnsi="BrowalliaUPC" w:cs="BrowalliaUPC"/>
          <w:sz w:val="32"/>
          <w:szCs w:val="32"/>
          <w:cs/>
        </w:rPr>
        <w:t xml:space="preserve">10 โดยกำหนดอัตราเงินกองทุนที่เหมาะสมให้เป็นน้ำมันมาตรฐานทดแทนฺน้ำมันดีเซลหมุนเร็ว </w:t>
      </w:r>
      <w:r w:rsidRPr="00CA2074">
        <w:rPr>
          <w:rFonts w:ascii="BrowalliaUPC" w:hAnsi="BrowalliaUPC" w:cs="BrowalliaUPC"/>
          <w:sz w:val="32"/>
          <w:szCs w:val="32"/>
        </w:rPr>
        <w:t>B</w:t>
      </w:r>
      <w:r w:rsidRPr="00CA2074">
        <w:rPr>
          <w:rFonts w:ascii="BrowalliaUPC" w:hAnsi="BrowalliaUPC" w:cs="BrowalliaUPC"/>
          <w:sz w:val="32"/>
          <w:szCs w:val="32"/>
          <w:cs/>
        </w:rPr>
        <w:t xml:space="preserve">7 โดยมีน้ำมันดีเซลหมุนเร็ว </w:t>
      </w:r>
      <w:r w:rsidRPr="00CA2074">
        <w:rPr>
          <w:rFonts w:ascii="BrowalliaUPC" w:hAnsi="BrowalliaUPC" w:cs="BrowalliaUPC"/>
          <w:sz w:val="32"/>
          <w:szCs w:val="32"/>
        </w:rPr>
        <w:t>B</w:t>
      </w:r>
      <w:r w:rsidRPr="00CA2074">
        <w:rPr>
          <w:rFonts w:ascii="BrowalliaUPC" w:hAnsi="BrowalliaUPC" w:cs="BrowalliaUPC"/>
          <w:sz w:val="32"/>
          <w:szCs w:val="32"/>
          <w:cs/>
        </w:rPr>
        <w:t xml:space="preserve">20 เป็นทางเลือก ทั้งนี้ สกนช. ได้จัดทำร่างประกาศ กบน. เรื่อง หลักเกณฑ์ วิธีการ </w:t>
      </w:r>
      <w:r w:rsidRPr="00CA2074">
        <w:rPr>
          <w:rFonts w:ascii="BrowalliaUPC" w:hAnsi="BrowalliaUPC" w:cs="BrowalliaUPC"/>
          <w:sz w:val="32"/>
          <w:szCs w:val="32"/>
          <w:cs/>
        </w:rPr>
        <w:lastRenderedPageBreak/>
        <w:t>เงื่อนไข และมาตรการ เพื่อลดการจ่ายเงินชดเชยน้ำมันเชื้อเพลิงที่มีส่วนผสมของเชื้อเพลิงชีวภาพเพื่อนำเสนอคณะรัฐมนตรีเห็นชอบ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  <w:r w:rsidRPr="00CA2074">
        <w:rPr>
          <w:rFonts w:ascii="BrowalliaUPC" w:hAnsi="BrowalliaUPC" w:cs="BrowalliaUPC"/>
          <w:sz w:val="32"/>
          <w:szCs w:val="32"/>
          <w:cs/>
        </w:rPr>
        <w:t xml:space="preserve">         5.ยุทธศาสตร์ที่ 3 การบริหารจัดการกองทุนน้ำมันเชื้อเพลิงตามหลักธรรมา</w:t>
      </w:r>
      <w:proofErr w:type="spellStart"/>
      <w:r w:rsidRPr="00CA2074">
        <w:rPr>
          <w:rFonts w:ascii="BrowalliaUPC" w:hAnsi="BrowalliaUPC" w:cs="BrowalliaUPC"/>
          <w:sz w:val="32"/>
          <w:szCs w:val="32"/>
          <w:cs/>
        </w:rPr>
        <w:t>ภิ</w:t>
      </w:r>
      <w:proofErr w:type="spellEnd"/>
      <w:r w:rsidRPr="00CA2074">
        <w:rPr>
          <w:rFonts w:ascii="BrowalliaUPC" w:hAnsi="BrowalliaUPC" w:cs="BrowalliaUPC"/>
          <w:sz w:val="32"/>
          <w:szCs w:val="32"/>
          <w:cs/>
        </w:rPr>
        <w:t>บาล โยใช้หลักการบริหารกิจการบ้านเมืองที่ดี ประกอบด้วย หลักนิติธรรม หลักคุณธรรม หลักความโปร่งใส หลักการมีส่วนร่วม หลักความรับผิดชอบ และหลักความคุ้มค่า ทั้งนี้ มีการติดตามและประเมินผลการปฏิบัติงานตามแผนยุทธศาสตร์กองทุนน้ำมันฯ โดยใช้แนวคิดเรื่องการบริหารงานแบบมุ่งผลสัมฤทธิ์</w:t>
      </w: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</w:rPr>
      </w:pPr>
    </w:p>
    <w:p w:rsidR="00CA2074" w:rsidRPr="00CA2074" w:rsidRDefault="00CA2074" w:rsidP="00CA2074">
      <w:pPr>
        <w:rPr>
          <w:rFonts w:ascii="BrowalliaUPC" w:hAnsi="BrowalliaUPC" w:cs="BrowalliaUPC"/>
          <w:sz w:val="32"/>
          <w:szCs w:val="32"/>
          <w:u w:val="single"/>
        </w:rPr>
      </w:pPr>
      <w:r w:rsidRPr="00CA2074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96C33" w:rsidRPr="003C0EBC" w:rsidRDefault="00CA2074" w:rsidP="00CA2074">
      <w:pPr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CA2074">
        <w:rPr>
          <w:rFonts w:ascii="BrowalliaUPC" w:hAnsi="BrowalliaUPC" w:cs="BrowalliaUPC"/>
          <w:sz w:val="32"/>
          <w:szCs w:val="32"/>
          <w:cs/>
        </w:rPr>
        <w:t>เห็นชอบแผนรองรับวิกฤตการณ์ด้านน้ำมันเชื้อเพลิงและแผนยุทธศาสตร์กองทุนน้ำมันเชื้อเพลิง ตามที่คณะกรรมการบริหารกองทุนน้ำมันเชื้อเพลิงเสนอ และมอบหมายให้ฝ่ายเลขานุการคณะกรรมการนโยบายพลังงานแห่งชาตินำเสนอคณะรัฐมนตรีพิจารณาต่อไป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9217CA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7176A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20</cp:revision>
  <dcterms:created xsi:type="dcterms:W3CDTF">2018-03-27T04:11:00Z</dcterms:created>
  <dcterms:modified xsi:type="dcterms:W3CDTF">2022-09-27T04:20:00Z</dcterms:modified>
</cp:coreProperties>
</file>